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31C5C6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bookmarkStart w:id="0" w:name="_Hlk197691410"/>
      <w:r w:rsidRPr="00517903">
        <w:rPr>
          <w:rFonts w:ascii="Times New Roman" w:eastAsia="Arial Unicode MS" w:hAnsi="Times New Roman" w:cs="Times New Roman"/>
          <w:noProof/>
          <w:kern w:val="0"/>
          <w:sz w:val="24"/>
          <w:szCs w:val="24"/>
          <w:bdr w:val="nil"/>
          <w:lang w:eastAsia="hr-HR"/>
          <w14:ligatures w14:val="none"/>
        </w:rPr>
        <w:drawing>
          <wp:inline distT="0" distB="0" distL="0" distR="0" wp14:anchorId="76688533" wp14:editId="22CAE5B2">
            <wp:extent cx="504190" cy="683895"/>
            <wp:effectExtent l="0" t="0" r="0" b="1905"/>
            <wp:docPr id="1" name="Picture 1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D4AFF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before="60" w:after="1680" w:line="240" w:lineRule="auto"/>
        <w:jc w:val="center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5179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VLADA REPUBLIKE HRVATSKE</w:t>
      </w:r>
    </w:p>
    <w:p w14:paraId="68B2DB19" w14:textId="129C9F65" w:rsidR="00517903" w:rsidRPr="00517903" w:rsidRDefault="00A867DB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Zagreb, 15. svib</w:t>
      </w:r>
      <w:r w:rsidR="00517903" w:rsidRPr="005179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nj</w:t>
      </w:r>
      <w:r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a</w:t>
      </w:r>
      <w:r w:rsidR="00517903" w:rsidRPr="005179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2025.</w:t>
      </w:r>
    </w:p>
    <w:p w14:paraId="308C2C58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0C8DF2C8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3CA788B8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0234DF2D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41627D24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7A67A5F8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  <w:r w:rsidRPr="00517903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>_________________________________________________________________________</w:t>
      </w:r>
    </w:p>
    <w:p w14:paraId="75570E68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  <w:r w:rsidRPr="00517903">
        <w:rPr>
          <w:rFonts w:ascii="Times New Roman" w:eastAsia="Calibri" w:hAnsi="Times New Roman" w:cs="Times New Roman"/>
          <w:b/>
          <w:smallCaps/>
          <w:kern w:val="0"/>
          <w:sz w:val="24"/>
          <w:szCs w:val="24"/>
          <w:bdr w:val="nil"/>
          <w14:ligatures w14:val="none"/>
        </w:rPr>
        <w:t>Predlagatelj:</w:t>
      </w:r>
      <w:r w:rsidRPr="00517903">
        <w:rPr>
          <w:rFonts w:ascii="Times New Roman" w:eastAsia="Calibri" w:hAnsi="Times New Roman" w:cs="Times New Roman"/>
          <w:b/>
          <w:kern w:val="0"/>
          <w:sz w:val="24"/>
          <w:szCs w:val="24"/>
          <w:bdr w:val="nil"/>
          <w14:ligatures w14:val="none"/>
        </w:rPr>
        <w:t xml:space="preserve"> </w:t>
      </w:r>
      <w:r w:rsidRPr="00517903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>Ministarstvo zaštite okoliša i zelene tranzicije</w:t>
      </w:r>
    </w:p>
    <w:p w14:paraId="27D09A9A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jc w:val="center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  <w:r w:rsidRPr="00517903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>__________________________________________________________________________</w:t>
      </w:r>
    </w:p>
    <w:p w14:paraId="08C7D24D" w14:textId="33012E6F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1276" w:hanging="1418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517903">
        <w:rPr>
          <w:rFonts w:ascii="Times New Roman" w:eastAsia="Calibri" w:hAnsi="Times New Roman" w:cs="Times New Roman"/>
          <w:b/>
          <w:smallCaps/>
          <w:kern w:val="0"/>
          <w:sz w:val="24"/>
          <w:szCs w:val="24"/>
          <w:bdr w:val="nil"/>
          <w14:ligatures w14:val="none"/>
        </w:rPr>
        <w:t xml:space="preserve">   Predmet:</w:t>
      </w:r>
      <w:r w:rsidRPr="00517903">
        <w:rPr>
          <w:rFonts w:ascii="Times New Roman" w:eastAsia="Calibri" w:hAnsi="Times New Roman" w:cs="Times New Roman"/>
          <w:b/>
          <w:kern w:val="0"/>
          <w:sz w:val="24"/>
          <w:szCs w:val="24"/>
          <w:bdr w:val="nil"/>
          <w14:ligatures w14:val="none"/>
        </w:rPr>
        <w:t xml:space="preserve">   </w:t>
      </w:r>
      <w:r w:rsidRPr="00517903">
        <w:rPr>
          <w:rFonts w:ascii="Times New Roman" w:eastAsia="Calibri" w:hAnsi="Times New Roman" w:cs="Times New Roman"/>
          <w:b/>
          <w:kern w:val="0"/>
          <w:sz w:val="24"/>
          <w:szCs w:val="24"/>
          <w:bdr w:val="nil"/>
          <w14:ligatures w14:val="none"/>
        </w:rPr>
        <w:tab/>
      </w:r>
      <w:r w:rsidR="00A867DB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>Prijedlog o</w:t>
      </w:r>
      <w:bookmarkStart w:id="1" w:name="_GoBack"/>
      <w:bookmarkEnd w:id="1"/>
      <w:r w:rsidRPr="00517903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>dluke o modelu financiranja novih projekata vodno-komunalnog sektora u okviru Programa Konkurentnost i kohezija 2021. – 2027.</w:t>
      </w:r>
      <w:r w:rsidRPr="005179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 xml:space="preserve"> </w:t>
      </w:r>
      <w:r w:rsidRPr="00517903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>i davanju suglasnosti Ministarstvu zaštite okoliša i zelene tranzicije za dodjelu bespovratnih sredstava Kohezijskog fonda u okviru Programa Konkurentnost i kohezija 2021. – 2027.</w:t>
      </w:r>
    </w:p>
    <w:p w14:paraId="74DB8AF8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256F325F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N w:val="0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</w:pPr>
      <w:r w:rsidRPr="00517903">
        <w:rPr>
          <w:rFonts w:ascii="Times New Roman" w:eastAsia="Calibri" w:hAnsi="Times New Roman" w:cs="Times New Roman"/>
          <w:kern w:val="0"/>
          <w:sz w:val="24"/>
          <w:szCs w:val="24"/>
          <w:bdr w:val="nil"/>
          <w14:ligatures w14:val="none"/>
        </w:rPr>
        <w:t>___________________________________________________________________________</w:t>
      </w:r>
    </w:p>
    <w:p w14:paraId="35EC3E1B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4317523F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70BB1CD1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554D6746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157FD142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638B88DF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7B0EC02E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7FEF977F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2593EDD5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3717C03F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25370FBF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4C63EA94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302B0197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7CE8BED1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07ED4447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3460FE15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0C6A8A4C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6E483842" w14:textId="77777777" w:rsidR="00517903" w:rsidRPr="00517903" w:rsidRDefault="00517903" w:rsidP="00517903">
      <w:pPr>
        <w:pBdr>
          <w:top w:val="single" w:sz="4" w:space="1" w:color="404040"/>
          <w:left w:val="nil"/>
          <w:bottom w:val="nil"/>
          <w:right w:val="nil"/>
          <w:between w:val="nil"/>
          <w:bar w:val="nil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404040"/>
          <w:spacing w:val="20"/>
          <w:kern w:val="0"/>
          <w:sz w:val="24"/>
          <w:szCs w:val="24"/>
          <w:bdr w:val="nil"/>
          <w14:ligatures w14:val="none"/>
        </w:rPr>
      </w:pPr>
      <w:r w:rsidRPr="00517903">
        <w:rPr>
          <w:rFonts w:ascii="Times New Roman" w:eastAsia="Arial Unicode MS" w:hAnsi="Times New Roman" w:cs="Times New Roman"/>
          <w:color w:val="404040"/>
          <w:spacing w:val="20"/>
          <w:kern w:val="0"/>
          <w:sz w:val="24"/>
          <w:szCs w:val="24"/>
          <w:bdr w:val="nil"/>
          <w14:ligatures w14:val="none"/>
        </w:rPr>
        <w:t>Banski dvori | Trg Sv. Marka 2  | 10000 Zagreb | tel. 01 4569 222 | vlada.gov.hr</w:t>
      </w:r>
    </w:p>
    <w:bookmarkEnd w:id="0"/>
    <w:p w14:paraId="63A33416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5179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ab/>
      </w:r>
      <w:r w:rsidRPr="005179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ab/>
      </w:r>
      <w:r w:rsidRPr="005179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ab/>
      </w:r>
      <w:r w:rsidRPr="005179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ab/>
      </w:r>
      <w:r w:rsidRPr="005179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ab/>
      </w:r>
    </w:p>
    <w:p w14:paraId="0712106E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5179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ab/>
      </w:r>
    </w:p>
    <w:p w14:paraId="5B0CF6AB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5179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PRIJEDLOG</w:t>
      </w:r>
    </w:p>
    <w:p w14:paraId="1B5FEC7E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4A00669A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</w:pPr>
      <w:r w:rsidRPr="005179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Na temelju članka 8. i članka 31. stavka 2. Zakona o Vladi Republike Hrvatske („Narodne novine</w:t>
      </w:r>
      <w:r w:rsidRPr="005179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rtl/>
          <w14:ligatures w14:val="none"/>
        </w:rPr>
        <w:t>“</w:t>
      </w:r>
      <w:r w:rsidRPr="005179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, br. 150/11., 119/14., 93/16., 116/18., 80/22. i 78/24) i članka 72. stavka 2. Zakona o proračunu („Narodne novine</w:t>
      </w:r>
      <w:r w:rsidRPr="005179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:rtl/>
          <w14:ligatures w14:val="none"/>
        </w:rPr>
        <w:t>“</w:t>
      </w:r>
      <w:r w:rsidRPr="00517903">
        <w:rPr>
          <w:rFonts w:ascii="Times New Roman" w:eastAsia="Arial Unicode MS" w:hAnsi="Times New Roman" w:cs="Times New Roman"/>
          <w:kern w:val="0"/>
          <w:sz w:val="24"/>
          <w:szCs w:val="24"/>
          <w:bdr w:val="nil"/>
          <w14:ligatures w14:val="none"/>
        </w:rPr>
        <w:t>, broj 144/21.), Vlada Republike Hrvatske je na sjednici održanoj ________________ 2025. donijela</w:t>
      </w:r>
    </w:p>
    <w:p w14:paraId="0C6D1111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il"/>
          <w14:ligatures w14:val="none"/>
        </w:rPr>
      </w:pPr>
    </w:p>
    <w:p w14:paraId="4F347AF6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B5E1BA4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 D L U K U</w:t>
      </w:r>
    </w:p>
    <w:p w14:paraId="5457281C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EAAA997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bookmarkStart w:id="2" w:name="_Hlk149917820"/>
      <w:r w:rsidRPr="00517903"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o modelu financiranja novih projekata vodno-komunalnog sektora u okviru Programa Konkurentnost i kohezija 2021. – 2027. </w:t>
      </w:r>
      <w:bookmarkStart w:id="3" w:name="_Hlk197958889"/>
      <w:r w:rsidRPr="00517903"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i davanju suglasnosti Ministarstvu zaštite okoliša i zelene tranzicije za dodjelu bespovratnih sredstava Kohezijskog fonda u okviru Programa Konkurentnost i kohezija 2021. – 2027. </w:t>
      </w:r>
      <w:bookmarkEnd w:id="3"/>
    </w:p>
    <w:p w14:paraId="6438E384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bookmarkEnd w:id="2"/>
    <w:p w14:paraId="757D1ABD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B77B20E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I.</w:t>
      </w:r>
    </w:p>
    <w:p w14:paraId="19F6A46C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60E74D7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Utvrđuje se model financiranja novih projekata vodno-komunalnog sektora koji značajno doprinose ispunjavanju obveza preuzetih Ugovorom o pristupanju Republike Hrvatske Europskoj uniji odnosno usklađivanju s Direktivom (EU) 2024/3019 Europskog parlamenta i Vijeća od 27. studenoga 2024. o pročišćavanju komunalnih otpadnih voda (SL L 2024/3019, 12.12.2024.), Direktivom (EU) 2020/2184 Europskog parlamenta i Vijeća od 16. prosinca 2020. o kvaliteti vode namijenjene za ljudsku potrošnju (SL L 435, 23.12.2020.) i Direktivom 2000/60/EZ Europskog parlamenta i Vijeća od 23. listopada 2000. o uspostavi okvira za djelovanje Zajednice u području vodne politike (SL L 327, 22.12.2000.) te se smatraju prioritetnim projektima i u visokoj su fazi spremnosti. </w:t>
      </w:r>
    </w:p>
    <w:p w14:paraId="13A51906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FBDC882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II.</w:t>
      </w:r>
    </w:p>
    <w:p w14:paraId="6EC1E815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FF16B10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Daje se suglasnost Ministarstvu zaštite okoliša i zelene tranzicije da u okviru Programa konkurentnost i kohezija </w:t>
      </w:r>
      <w:r w:rsidRPr="00517903">
        <w:rPr>
          <w:rFonts w:ascii="Times New Roman" w:eastAsia="Apto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2021. – 2027. dodjeli bespovratna sredstva u iznosu do najviše 100 % iznad trenutno raspoložive alokacije sredstava Kohezijskog fonda</w:t>
      </w:r>
      <w:r w:rsidRPr="00517903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</w:p>
    <w:p w14:paraId="0BA4FAFD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33D7BE6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 xml:space="preserve">                                                 </w:t>
      </w:r>
      <w:r w:rsidRPr="005179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III.</w:t>
      </w:r>
    </w:p>
    <w:p w14:paraId="06192C59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EC71266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ptos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Projekti koji će biti odobreni u okviru Programa Konkurentnost i kohezija </w:t>
      </w:r>
      <w:bookmarkStart w:id="4" w:name="_Hlk196752317"/>
      <w:r w:rsidRPr="00517903">
        <w:rPr>
          <w:rFonts w:ascii="Times New Roman" w:eastAsia="Apto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2021. – 2027.</w:t>
      </w:r>
      <w:bookmarkEnd w:id="4"/>
      <w:r w:rsidRPr="00517903">
        <w:rPr>
          <w:rFonts w:ascii="Times New Roman" w:eastAsia="Apto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, u okviru Specifičnog cilja RSO2.5. – Promicanje pristupa vodi i održivog upravljanja vodama financirat će se sredstvima Kohezijskog fonda, s udjelom od </w:t>
      </w:r>
      <w:r w:rsidRPr="00517903">
        <w:rPr>
          <w:rFonts w:ascii="Times New Roman" w:eastAsia="Aptos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okvirno 70 % ukupno prihvatljivih troškova. Preostali dio prihvatljivih troškova financirat će se na način da će javni isporučitelji vodnih usluga </w:t>
      </w:r>
      <w:r w:rsidRPr="00517903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(u daljnjem tekstu: </w:t>
      </w:r>
      <w:r w:rsidRPr="00517903">
        <w:rPr>
          <w:rFonts w:ascii="Times New Roman" w:eastAsia="Aptos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JIVU) i/ili jedinice lokalne samouprave </w:t>
      </w:r>
      <w:r w:rsidRPr="00517903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(u daljnjem tekstu: </w:t>
      </w:r>
      <w:r w:rsidRPr="00517903">
        <w:rPr>
          <w:rFonts w:ascii="Times New Roman" w:eastAsia="Aptos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JLS) financirati 10 %, 12 % ili 15 % prihvatljivih troškova, dok će preostali dio biti jednako financiran sredstvima državnog proračuna Republike Hrvatske i Hrvatskih voda. </w:t>
      </w:r>
    </w:p>
    <w:p w14:paraId="06199226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713ABB0" w14:textId="3DF88003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Postotak sufinanciranja</w:t>
      </w:r>
      <w:r w:rsidRPr="00517903">
        <w:rPr>
          <w:rFonts w:ascii="Times New Roman" w:eastAsia="Aptos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JIVU i/ili JLS</w:t>
      </w:r>
      <w:r w:rsidRPr="00517903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veže se za indeks razvijenosti temeljem Odluke o razvrstavanju jedinica lokalne i područne (regionalne) samouprave prema stupnju razvijenosti („Narodne novine“ 3/24.) na način da 1., 2. i 3. skupina financiraju 10 %; 4., 5. i 6. skupina 12 %; a 7. i 8. skupina 15 %. U slučaju projekata javne odvodnje i/ili integriranih projekata javne odvodnje s javnom vodoopskrbom kod određivanja indeksa razvijenosti aglomeracija uzima se u obzir indeks razvijenosti vodeće JLS na području aglomeracije pri čemu se vodećom JLS smatra ona JLS na kojoj će se vrijednosno izvesti glavnina radova.</w:t>
      </w:r>
    </w:p>
    <w:p w14:paraId="38AE41ED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023E36A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IV.</w:t>
      </w:r>
    </w:p>
    <w:p w14:paraId="4BD80378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909E1A5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Zadužuje se Ministarstvo zaštite okoliša i zelene tranzicije da pripremi poziv za dostavu projektnih prijedloga, za nove projekte vodno-komunalnog sektora iz točke I. ove Odluke, kojim će se propisati uvjeti spremnosti dokumentacije te ostali zahtjevi koje projekt mora zadovoljiti kako bi bio odobren za financiranje, a osobito uvjete vezane za smanjenje gubitaka.</w:t>
      </w:r>
    </w:p>
    <w:p w14:paraId="4B22429E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C6292C4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Zadužuju se Hrvatske vode da izrade i objave Smjernice o utvrđivanju prihvatljivih projektnih cijena za ulaganja u vodno-komunalne projekte slijedom kojih se korisnici projekata zadužuju da ažuriraju vrijednosti u projektnim prijavama.</w:t>
      </w:r>
    </w:p>
    <w:p w14:paraId="6CA57491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275D930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Zadužuje se Ministarstvo zaštite okoliša i zelene tranzicije da provede objavu poziva i proceduru dodjeljivanja bespovratnih sredstava.</w:t>
      </w:r>
    </w:p>
    <w:p w14:paraId="1E19B951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BE718B6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Zadužuju se Hrvatske vode i korisnici projekata (JIVU/JLS) da kao potpisnici ugovora o dodjeli bespovratnih sredstava i ugovora o sufinanciranju projekta, osiguraju svoj udio u sredstvima za sufinanciranje nacionalnog dijela projekata, a sukladno točki III. ove Odluke.</w:t>
      </w:r>
    </w:p>
    <w:p w14:paraId="4BABF87A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F682B8D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V.</w:t>
      </w:r>
    </w:p>
    <w:p w14:paraId="7A5B81C8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38ED363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pto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Sredstva državnog proračuna Republike Hrvatske za financiranje prihvatljivih troškova projekata iz točke I. ove Odluke planirana su u Državnom proračunu Republike Hrvatske za 2025. godinu i projekcijama za 2026. i 2027. godinu, na </w:t>
      </w:r>
      <w:r w:rsidRPr="00517903">
        <w:rPr>
          <w:rFonts w:ascii="Times New Roman" w:eastAsia="Apto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>Razdjelu 078, Glavi 07805 Ministarstvo zaštite okoliša i zelene tranzicije, aktivnosti K905056 Program Konkurentnost i Kohezija 2021. – 2027.</w:t>
      </w:r>
    </w:p>
    <w:p w14:paraId="39504F03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8F3FBF5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VI.</w:t>
      </w:r>
    </w:p>
    <w:p w14:paraId="2315C5FD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559488A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Ova Odluka stupa na snagu danom donošenja.</w:t>
      </w:r>
    </w:p>
    <w:p w14:paraId="1D409081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50F46B72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KLASA:</w:t>
      </w:r>
    </w:p>
    <w:p w14:paraId="4BCAD24C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URBROJ:</w:t>
      </w:r>
    </w:p>
    <w:p w14:paraId="3EF29E4D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CAFD100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Zagreb, ____________ 2025. godine</w:t>
      </w:r>
    </w:p>
    <w:p w14:paraId="7FF1F5D1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07046D8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PREDSJEDNIK </w:t>
      </w:r>
    </w:p>
    <w:p w14:paraId="6E5A7FF1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0EB3897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7AE6B76B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     </w:t>
      </w:r>
      <w:r w:rsidRPr="00517903"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517903"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517903"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517903"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517903"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517903"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517903"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</w:r>
      <w:r w:rsidRPr="00517903">
        <w:rPr>
          <w:rFonts w:ascii="Times New Roman" w:eastAsia="Aptos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ab/>
        <w:t xml:space="preserve">       mr. sc. Andrej Plenković </w:t>
      </w:r>
    </w:p>
    <w:p w14:paraId="0017776A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F4CD495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1841F03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260062B8" w14:textId="5C5E002A" w:rsidR="00517903" w:rsidRPr="00517903" w:rsidRDefault="00517903" w:rsidP="002268B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il"/>
          <w14:ligatures w14:val="none"/>
        </w:rPr>
      </w:pPr>
      <w:r w:rsidRPr="00517903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14:ligatures w14:val="none"/>
        </w:rPr>
        <w:br w:type="page"/>
      </w:r>
      <w:r w:rsidRPr="00517903">
        <w:rPr>
          <w:rFonts w:ascii="Times New Roman" w:eastAsia="Arial Unicode MS" w:hAnsi="Times New Roman" w:cs="Times New Roman"/>
          <w:b/>
          <w:bCs/>
          <w:kern w:val="0"/>
          <w:sz w:val="24"/>
          <w:szCs w:val="24"/>
          <w:bdr w:val="nil"/>
          <w14:ligatures w14:val="none"/>
        </w:rPr>
        <w:lastRenderedPageBreak/>
        <w:t>OBRAZLOŽENJE</w:t>
      </w:r>
    </w:p>
    <w:p w14:paraId="77D7FA3E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1E201399" w14:textId="77777777" w:rsidR="00517903" w:rsidRDefault="00517903" w:rsidP="00581A7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Kod projekata ulaganja u javnu odvodnju prioritet je prijelazno razdoblje iz Ugovora o pristupanju</w:t>
      </w:r>
      <w:r w:rsidRPr="00517903"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517903">
        <w:rPr>
          <w:rFonts w:ascii="Times New Roman" w:eastAsia="Apto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Republike Hrvatske Europskoj uniji (u daljnjem tekstu: Ugovor o pristupanju), odnosno veličina aglomeracije i osjetljivost područja, a kod projekata ulaganja u javnu vodoopskrbu prioritet je kvaliteta vode za ljudsku potrošnju, gubici i postotak priključenosti stanovništva na sustav javne vodoopskrbe.</w:t>
      </w:r>
      <w:r w:rsidRPr="00517903">
        <w:rPr>
          <w:rFonts w:ascii="Times New Roman" w:eastAsia="Arial Unicode MS" w:hAnsi="Times New Roman" w:cs="Times New Roman"/>
          <w:kern w:val="0"/>
          <w:sz w:val="24"/>
          <w:szCs w:val="24"/>
          <w:u w:color="000000"/>
          <w:bdr w:val="nil"/>
          <w14:ligatures w14:val="none"/>
        </w:rPr>
        <w:t xml:space="preserve"> </w:t>
      </w:r>
      <w:r w:rsidRPr="00517903">
        <w:rPr>
          <w:rFonts w:ascii="Times New Roman" w:eastAsia="Apto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Zbog tehnologije i prirode radova, ulaganja u javnu odvodnju i javnu vodoopskrbu često se provode istovremeno te se planiraju kao jedinstveni projekt, pri čemu se, s obzirom na svoju složenost, u pravilu provode kroz duži vremenski period od okvirno 5 do 7 godina. Uzimajući u obzir navedeno kao i dodatni kriterij spremnosti samih projekata (visoka razina spremnosti projekata gdje je visok stupanj riješenosti imovinsko pravnih odnosa, ishođenosti dozvola, pripremljenosti projektne i natječajne dokumentacije) u ovom trenutku se može reći da je identificirano 30 infrastrukturnih projekata koji su ili u potpunosti spremni za odobrenje ili su u visokom stupnju spremnosti (navedeno je podložno promjenama ovisno o daljnjoj pripremi projekata). </w:t>
      </w:r>
      <w:r w:rsidRPr="00517903"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Stoga se ovim prijedlogom Odluke, točkom I. utvrđuje  model financiranja novih projekata vodno-komunalnog sektora koji se smatraju prioritetnim projektima i u visokoj su fazi spremnosti</w:t>
      </w:r>
      <w:r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. </w:t>
      </w:r>
    </w:p>
    <w:p w14:paraId="436CF580" w14:textId="77777777" w:rsid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3A80EB7" w14:textId="7F9AC801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Obzirom da raspoloživa alokacija</w:t>
      </w:r>
      <w:r w:rsidRPr="00517903">
        <w:rPr>
          <w:rFonts w:ascii="Times New Roman" w:eastAsia="Apto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u okviru Specifičnog cilja RSO 2.5 – Promicanje pristupa vodi i održivog upravljanja vodama</w:t>
      </w:r>
      <w:r w:rsidRPr="00517903">
        <w:rPr>
          <w:rFonts w:ascii="Times New Roman" w:eastAsia="Aptos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PKK 2021. – 2027. iznosi 845 milijuna eura te nije dostatna kako bi se odobrile nove prioritetne investicije vodno-komunalnog sektora, a koje je potrebno provesti kako bi se provele obaveze preuzete Ugovorom o pristupanju Hrvatske Europskoj uniji te izvršilo usklađivanje s relevantnim Direktivama, daje </w:t>
      </w:r>
      <w:r w:rsidR="00581A75">
        <w:rPr>
          <w:rFonts w:ascii="Times New Roman" w:eastAsia="Aptos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517903">
        <w:rPr>
          <w:rFonts w:ascii="Times New Roman" w:eastAsia="Aptos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se suglasnost Ministarstvu zaštite okoliša i zelene tranzicije za dodjelu bespovratnih sredstava </w:t>
      </w:r>
      <w:r w:rsidRPr="00517903">
        <w:rPr>
          <w:rFonts w:ascii="Times New Roman" w:eastAsia="Apto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u iznosu do najviše 100 % iznad trenutno raspoložive alokacije sredstava Kohezijskog fonda</w:t>
      </w:r>
      <w:r w:rsidRPr="00517903"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 </w:t>
      </w:r>
      <w:r w:rsidRPr="00517903">
        <w:rPr>
          <w:rFonts w:ascii="Times New Roman" w:eastAsia="Aptos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kako je propisano u točki II. Odluke. </w:t>
      </w:r>
    </w:p>
    <w:p w14:paraId="5149556D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55F135D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Omogućavanjem dodjele bespovratnih sredstava iznad raspoložive alokacije, osigurat će se apsorpcija svih alociranih sredstava kroz Specifični cilj </w:t>
      </w:r>
      <w:r w:rsidRPr="00517903">
        <w:rPr>
          <w:rFonts w:ascii="Times New Roman" w:eastAsia="Apto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RSO</w:t>
      </w:r>
      <w:r w:rsidRPr="00517903">
        <w:rPr>
          <w:rFonts w:ascii="Times New Roman" w:eastAsia="Aptos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2.5 – Promicanje pristupa vodi i održivog upravljanja vodama u okviru ovog programskog razdoblja. Potencijalne uštede u provedbi projekata i preraspodjele bespovratnih EU sredstava iz PKK 2021.-2027. mogu se koristiti za provedbu ove Odluke. Osim navedenog nastavit će se aktivno raditi i na ispunjenju obveza preuzetih Ugovorom o pristupanju odnosno na usklađenju s relevantnim Direktivama čime će se doprinijeti izbjegavanju plaćanja penala za neusklađenje sa zadanim rokovima prema Ugovoru o pristupanju što je svakako dodatno opterećenje za Državni proračun. </w:t>
      </w:r>
    </w:p>
    <w:p w14:paraId="2B768551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ind w:right="4"/>
        <w:jc w:val="both"/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Ovim prijedlogom Odluke predlaže se model financiranja </w:t>
      </w:r>
      <w:r w:rsidRPr="00517903"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kako je opisano u točki III. Odluke:</w:t>
      </w:r>
    </w:p>
    <w:p w14:paraId="7CE5468B" w14:textId="77777777" w:rsidR="00517903" w:rsidRPr="00517903" w:rsidRDefault="00517903" w:rsidP="005179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4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sredstvima Kohezijskog fonda u iznosu 85% financijskog jaza što iznosi okvirno 70% prihvatljivih troškova </w:t>
      </w:r>
    </w:p>
    <w:p w14:paraId="02D045B3" w14:textId="77777777" w:rsidR="00517903" w:rsidRPr="00517903" w:rsidRDefault="00517903" w:rsidP="005179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4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lastRenderedPageBreak/>
        <w:t>sufinanciranje javnih isporučitelja vodnih usluga/jedinica lokalne samouprave (dalje u tekstu JIVU/JLS) 10%, 12% ili 15% (postotak sufinanciranja veže se za indeks razvijenosti na način da 1., 2. i 3. skupina financiraju 10%; 4., 5. i 6. skupina 12%; 7. i 8. skupina 15%)</w:t>
      </w:r>
    </w:p>
    <w:p w14:paraId="0B0E999B" w14:textId="77777777" w:rsidR="00517903" w:rsidRPr="00517903" w:rsidRDefault="00517903" w:rsidP="005179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4"/>
        <w:jc w:val="both"/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rial Unicode M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Državni proračun i Hrvatske vode financiraju preostali dio prihvatljivih troškova u jednakim omjerima.</w:t>
      </w:r>
    </w:p>
    <w:p w14:paraId="4A277DEB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Aptos" w:hAnsi="Times New Roman" w:cs="Times New Roman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68166A17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 xml:space="preserve">Ministarstvo zaštite okoliša i zelene tranzicije zadužuje se pripremiti poziv za dostavu projektnih prijedloga kojim će se propisati uvjeti spremnosti dokumentacije te ostale zahtjeve koje projekt mora zadovoljiti kako bi bio odobren za financiranje, a osobito uvjete vezane za smanjenje gubitaka. S obzirom na vrlo visoke gubitke u sustavima javne vodoopskrbe na razini Republike Hrvatske, navedenim pozivom i pratećim uputama za prijavitelje utvrdit će se zahtjevi vezani za neophodno smanjenje gubitaka te će obveza smanjenja gubitaka biti propisana i u samim Ugovorima o dodjeli bespovratnih sredstava.  </w:t>
      </w:r>
    </w:p>
    <w:p w14:paraId="3EF0DB15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Hrvatske vode zadužuju se izraditi i objaviti Smjernice o utvrđivanju prihvatljivih projektnih cijena za ulaganja u vodno-komunalne projekte čime se namjeravaju minimizirati razlike u vrijednostima istovrsnih aktivnosti na različitim projektima te spriječiti odobravanje financiranja pojedinih nerazmjerno previsokih troškova na projektima. Slijedom donošenja Smjernica zadužuju se korisnici projekata da ažuriraju vrijednosti u projektnim prijavama.</w:t>
      </w:r>
    </w:p>
    <w:p w14:paraId="39118F98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Sredstva Državnog proračuna za financiranje prihvatljivih troškova projekata iz točke I. Odluke planirana su na Razdjelu 078, Glavi 07805 Ministarstvo zaštite okoliša i zelene tranzicije, aktivnosti K905056 Program Konkurentnost i Kohezija 2021. – 2027. na izvorima 12 (2025. godina: 5.429.887 eura; 2026. godina: 12.511.000 eura i 2027. godina: 32.022.992 eura) i 562 (2025. godina: 29.950.191 eura; 2026. godina 6.171.109 eura i 2027. godina: 73.982.665 eura) u okviru zadanih limita. Pri pripremi Državnog proračuna za naredno financijsko razdoblje sredstva će biti planirana u okvirima zadanih limita temeljem stvarnih potreba.</w:t>
      </w:r>
    </w:p>
    <w:p w14:paraId="71BE8153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34743574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  <w:r w:rsidRPr="00517903">
        <w:rPr>
          <w:rFonts w:ascii="Times New Roman" w:eastAsia="Aptos" w:hAnsi="Times New Roman" w:cs="Times New Roman"/>
          <w:color w:val="000000"/>
          <w:kern w:val="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  <w:t>Zbog navedenog predlaže se donošenje ove Odluke.</w:t>
      </w:r>
    </w:p>
    <w:p w14:paraId="693376FC" w14:textId="77777777" w:rsidR="00517903" w:rsidRPr="00517903" w:rsidRDefault="00517903" w:rsidP="00517903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Aptos" w:hAnsi="Times New Roman" w:cs="Times New Roman"/>
          <w:color w:val="000000"/>
          <w:sz w:val="24"/>
          <w:szCs w:val="24"/>
          <w:u w:color="000000"/>
          <w:bdr w:val="nil"/>
          <w:lang w:eastAsia="hr-HR"/>
          <w14:textOutline w14:w="0" w14:cap="flat" w14:cmpd="sng" w14:algn="ctr">
            <w14:noFill/>
            <w14:prstDash w14:val="solid"/>
            <w14:bevel/>
          </w14:textOutline>
          <w14:ligatures w14:val="none"/>
        </w:rPr>
      </w:pPr>
    </w:p>
    <w:p w14:paraId="06EAF8A9" w14:textId="77777777" w:rsidR="00767CB5" w:rsidRDefault="00767CB5"/>
    <w:sectPr w:rsidR="00767CB5" w:rsidSect="00517903"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2B812" w14:textId="77777777" w:rsidR="00F73B50" w:rsidRDefault="00F73B50" w:rsidP="002268B6">
      <w:pPr>
        <w:spacing w:after="0" w:line="240" w:lineRule="auto"/>
      </w:pPr>
      <w:r>
        <w:separator/>
      </w:r>
    </w:p>
  </w:endnote>
  <w:endnote w:type="continuationSeparator" w:id="0">
    <w:p w14:paraId="0CD8F247" w14:textId="77777777" w:rsidR="00F73B50" w:rsidRDefault="00F73B50" w:rsidP="0022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FA6F9" w14:textId="77777777" w:rsidR="00F73B50" w:rsidRDefault="00F73B50" w:rsidP="002268B6">
      <w:pPr>
        <w:spacing w:after="0" w:line="240" w:lineRule="auto"/>
      </w:pPr>
      <w:r>
        <w:separator/>
      </w:r>
    </w:p>
  </w:footnote>
  <w:footnote w:type="continuationSeparator" w:id="0">
    <w:p w14:paraId="2B82CB37" w14:textId="77777777" w:rsidR="00F73B50" w:rsidRDefault="00F73B50" w:rsidP="00226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E53AD"/>
    <w:multiLevelType w:val="hybridMultilevel"/>
    <w:tmpl w:val="D2409A1C"/>
    <w:styleLink w:val="ImportedStyle1"/>
    <w:lvl w:ilvl="0" w:tplc="9C421D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2CD15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9C13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EECD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E2F2D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FC1C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1A2B2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3C48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A389B2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03A3D5B"/>
    <w:multiLevelType w:val="hybridMultilevel"/>
    <w:tmpl w:val="D2409A1C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03"/>
    <w:rsid w:val="002268B6"/>
    <w:rsid w:val="00517903"/>
    <w:rsid w:val="00581A75"/>
    <w:rsid w:val="006003BB"/>
    <w:rsid w:val="00694943"/>
    <w:rsid w:val="00767CB5"/>
    <w:rsid w:val="009A31E8"/>
    <w:rsid w:val="00A867DB"/>
    <w:rsid w:val="00DC70EC"/>
    <w:rsid w:val="00F73B50"/>
    <w:rsid w:val="00F9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EDCC6"/>
  <w15:chartTrackingRefBased/>
  <w15:docId w15:val="{E47E65DF-E2AF-4FC0-B5C2-A55AD317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7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7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7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7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7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903"/>
    <w:rPr>
      <w:b/>
      <w:bCs/>
      <w:smallCaps/>
      <w:color w:val="0F4761" w:themeColor="accent1" w:themeShade="BF"/>
      <w:spacing w:val="5"/>
    </w:rPr>
  </w:style>
  <w:style w:type="numbering" w:customStyle="1" w:styleId="ImportedStyle1">
    <w:name w:val="Imported Style 1"/>
    <w:rsid w:val="00517903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5179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90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903"/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26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8B6"/>
  </w:style>
  <w:style w:type="paragraph" w:styleId="Footer">
    <w:name w:val="footer"/>
    <w:basedOn w:val="Normal"/>
    <w:link w:val="FooterChar"/>
    <w:uiPriority w:val="99"/>
    <w:unhideWhenUsed/>
    <w:rsid w:val="00226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8B6"/>
  </w:style>
  <w:style w:type="paragraph" w:styleId="BalloonText">
    <w:name w:val="Balloon Text"/>
    <w:basedOn w:val="Normal"/>
    <w:link w:val="BalloonTextChar"/>
    <w:uiPriority w:val="99"/>
    <w:semiHidden/>
    <w:unhideWhenUsed/>
    <w:rsid w:val="00A86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AZJMDCZ6QSYZ-1849078857-46405</_dlc_DocId>
    <_dlc_DocIdUrl xmlns="a494813a-d0d8-4dad-94cb-0d196f36ba15">
      <Url>https://ekoordinacije.vlada.hr/koordinacija-gospodarstvo/_layouts/15/DocIdRedir.aspx?ID=AZJMDCZ6QSYZ-1849078857-46405</Url>
      <Description>AZJMDCZ6QSYZ-1849078857-46405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5029C6-E36F-4EBF-B042-B1AF9484D512}">
  <ds:schemaRefs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CE93B8-52E8-4828-9CD7-62A6C7D358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8CED8-6349-4D33-8C4C-EC8F9D3B815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A689CF-ED08-439B-87D9-6E50154FC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1546</Words>
  <Characters>8814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Araranković</dc:creator>
  <cp:keywords/>
  <dc:description/>
  <cp:lastModifiedBy>Sonja Tučkar</cp:lastModifiedBy>
  <cp:revision>5</cp:revision>
  <cp:lastPrinted>2025-05-14T06:03:00Z</cp:lastPrinted>
  <dcterms:created xsi:type="dcterms:W3CDTF">2025-05-13T09:18:00Z</dcterms:created>
  <dcterms:modified xsi:type="dcterms:W3CDTF">2025-05-14T06:03:00Z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ea5115ae-edf5-4176-93ca-0a914c005a6f</vt:lpwstr>
  </property>
</Properties>
</file>